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77" w:rsidRDefault="00E30977">
      <w:pPr>
        <w:rPr>
          <w:b/>
        </w:rPr>
      </w:pPr>
    </w:p>
    <w:p w:rsidR="00E30977" w:rsidRDefault="00E30977">
      <w:pPr>
        <w:rPr>
          <w:b/>
        </w:rPr>
      </w:pPr>
      <w:r w:rsidRPr="00E30977">
        <w:rPr>
          <w:b/>
          <w:noProof/>
        </w:rPr>
        <w:drawing>
          <wp:inline distT="0" distB="0" distL="0" distR="0">
            <wp:extent cx="2971800" cy="9930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73601" cy="993608"/>
                    </a:xfrm>
                    <a:prstGeom prst="rect">
                      <a:avLst/>
                    </a:prstGeom>
                    <a:noFill/>
                    <a:ln w="9525">
                      <a:noFill/>
                      <a:miter lim="800000"/>
                      <a:headEnd/>
                      <a:tailEnd/>
                    </a:ln>
                  </pic:spPr>
                </pic:pic>
              </a:graphicData>
            </a:graphic>
          </wp:inline>
        </w:drawing>
      </w:r>
      <w:r>
        <w:rPr>
          <w:b/>
        </w:rPr>
        <w:tab/>
      </w:r>
      <w:r>
        <w:rPr>
          <w:b/>
        </w:rPr>
        <w:tab/>
      </w:r>
      <w:r>
        <w:rPr>
          <w:b/>
        </w:rPr>
        <w:tab/>
      </w:r>
      <w:r w:rsidRPr="00E30977">
        <w:rPr>
          <w:b/>
          <w:noProof/>
        </w:rPr>
        <w:drawing>
          <wp:inline distT="0" distB="0" distL="0" distR="0">
            <wp:extent cx="1562100" cy="841306"/>
            <wp:effectExtent l="1905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562100" cy="841306"/>
                    </a:xfrm>
                    <a:prstGeom prst="rect">
                      <a:avLst/>
                    </a:prstGeom>
                    <a:noFill/>
                    <a:ln w="9525">
                      <a:noFill/>
                      <a:miter lim="800000"/>
                      <a:headEnd/>
                      <a:tailEnd/>
                    </a:ln>
                  </pic:spPr>
                </pic:pic>
              </a:graphicData>
            </a:graphic>
          </wp:inline>
        </w:drawing>
      </w:r>
    </w:p>
    <w:p w:rsidR="00E30977" w:rsidRDefault="007B458F" w:rsidP="00E30977">
      <w:pPr>
        <w:jc w:val="center"/>
        <w:rPr>
          <w:rFonts w:ascii="KabelITCbyBT-Book" w:hAnsi="KabelITCbyBT-Book" w:cs="KabelITCbyBT-Book"/>
          <w:color w:val="000000"/>
          <w:sz w:val="28"/>
          <w:szCs w:val="28"/>
        </w:rPr>
      </w:pPr>
      <w:r w:rsidRPr="007B458F">
        <w:rPr>
          <w:rFonts w:ascii="KabelITCbyBT-Book" w:hAnsi="KabelITCbyBT-Book" w:cs="KabelITCbyBT-Book"/>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2.25pt;height:23.25pt" fillcolor="#4e6128" strokecolor="#060" strokeweight="1pt">
            <v:fill opacity=".5"/>
            <v:shadow on="t" color="#99f" offset="3pt"/>
            <v:textpath style="font-family:&quot;Arial Black&quot;;v-text-kern:t" trim="t" fitpath="t" string="PEST MANAGEMENT NEWS"/>
          </v:shape>
        </w:pict>
      </w:r>
    </w:p>
    <w:p w:rsidR="00E30977" w:rsidRPr="001D6917" w:rsidRDefault="00E30977" w:rsidP="00E30977">
      <w:pPr>
        <w:pBdr>
          <w:top w:val="single" w:sz="12" w:space="1" w:color="auto"/>
          <w:bottom w:val="single" w:sz="12" w:space="1" w:color="auto"/>
        </w:pBdr>
        <w:jc w:val="center"/>
        <w:rPr>
          <w:rFonts w:ascii="Times New Roman" w:hAnsi="Times New Roman" w:cs="Times New Roman"/>
          <w:b/>
          <w:i/>
          <w:color w:val="000000"/>
          <w:sz w:val="24"/>
          <w:szCs w:val="24"/>
        </w:rPr>
      </w:pPr>
      <w:r w:rsidRPr="001D6917">
        <w:rPr>
          <w:rFonts w:ascii="Times New Roman" w:hAnsi="Times New Roman" w:cs="Times New Roman"/>
          <w:b/>
          <w:i/>
          <w:color w:val="000000"/>
          <w:sz w:val="24"/>
          <w:szCs w:val="24"/>
        </w:rPr>
        <w:t xml:space="preserve">VOLUME 8                    </w:t>
      </w:r>
      <w:r>
        <w:rPr>
          <w:rFonts w:ascii="Times New Roman" w:hAnsi="Times New Roman" w:cs="Times New Roman"/>
          <w:b/>
          <w:i/>
          <w:color w:val="000000"/>
          <w:sz w:val="24"/>
          <w:szCs w:val="24"/>
        </w:rPr>
        <w:t xml:space="preserve">     </w:t>
      </w:r>
      <w:r w:rsidRPr="001D6917">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w:t>
      </w:r>
      <w:r w:rsidR="004B2BC6">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ISSUE 11</w:t>
      </w:r>
      <w:r w:rsidRPr="001D6917">
        <w:rPr>
          <w:rFonts w:ascii="Times New Roman" w:hAnsi="Times New Roman" w:cs="Times New Roman"/>
          <w:b/>
          <w:i/>
          <w:color w:val="000000"/>
          <w:sz w:val="24"/>
          <w:szCs w:val="24"/>
        </w:rPr>
        <w:t xml:space="preserve"> </w:t>
      </w:r>
      <w:r w:rsidR="004B2BC6">
        <w:rPr>
          <w:rFonts w:ascii="Times New Roman" w:hAnsi="Times New Roman" w:cs="Times New Roman"/>
          <w:b/>
          <w:i/>
          <w:color w:val="000000"/>
          <w:sz w:val="24"/>
          <w:szCs w:val="24"/>
        </w:rPr>
        <w:t xml:space="preserve">  </w:t>
      </w:r>
      <w:r w:rsidRPr="001D6917">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June 14</w:t>
      </w:r>
      <w:r w:rsidRPr="001D6917">
        <w:rPr>
          <w:rFonts w:ascii="Times New Roman" w:hAnsi="Times New Roman" w:cs="Times New Roman"/>
          <w:b/>
          <w:i/>
          <w:color w:val="000000"/>
          <w:sz w:val="24"/>
          <w:szCs w:val="24"/>
        </w:rPr>
        <w:t>, 2012</w:t>
      </w:r>
    </w:p>
    <w:p w:rsidR="001C3846" w:rsidRPr="0064289B" w:rsidRDefault="001C3846">
      <w:pPr>
        <w:rPr>
          <w:b/>
        </w:rPr>
      </w:pPr>
      <w:r w:rsidRPr="0064289B">
        <w:rPr>
          <w:b/>
        </w:rPr>
        <w:t>Grain Sorghum</w:t>
      </w:r>
    </w:p>
    <w:p w:rsidR="001C3846" w:rsidRDefault="001C3846">
      <w:r>
        <w:t>While a few of our sorghum fields were harvested this week, some fields have yet to head.  We have found both stink bugs and corn earworms in sorghum fields from bloom to hard dough.</w:t>
      </w:r>
      <w:r w:rsidRPr="001C3846">
        <w:t xml:space="preserve"> </w:t>
      </w:r>
      <w:r>
        <w:t xml:space="preserve"> Fields that have reached hard dough ar</w:t>
      </w:r>
      <w:bookmarkStart w:id="0" w:name="_GoBack"/>
      <w:bookmarkEnd w:id="0"/>
      <w:r>
        <w:t xml:space="preserve">e relatively safe from stink bugs and headworms.  Research trials have shown that stink bug and corn earworm control can be achieved by using the high rate of pyrethroids.  </w:t>
      </w:r>
    </w:p>
    <w:p w:rsidR="001C3846" w:rsidRDefault="001C3846">
      <w:r>
        <w:t>We have not seen many fall armyworms, but if they are found, the combination of Lannate and Dimethoate has shown to be effective.</w:t>
      </w:r>
    </w:p>
    <w:p w:rsidR="001C3846" w:rsidRDefault="001C3846">
      <w:r>
        <w:t>Late planted sorghum fields that are still blooming should be monitored for sorghum midge.  Midge populations have increased and may be at treatable levels.</w:t>
      </w:r>
    </w:p>
    <w:p w:rsidR="00E30977" w:rsidRDefault="00E30977">
      <w:pPr>
        <w:rPr>
          <w:b/>
        </w:rPr>
      </w:pPr>
    </w:p>
    <w:p w:rsidR="00BE1CC5" w:rsidRDefault="00BE1CC5" w:rsidP="00E30977">
      <w:r w:rsidRPr="005D5774">
        <w:rPr>
          <w:b/>
        </w:rPr>
        <w:t>Table 1.</w:t>
      </w:r>
      <w:r>
        <w:t xml:space="preserve"> Average number of Rice Stink Bugs and Corn Earworms on 20 sorghum heads per plot of various insecticidal treatments. (Refugio County, 2012).</w:t>
      </w:r>
    </w:p>
    <w:p w:rsidR="00E30977" w:rsidRDefault="00E30977" w:rsidP="00E30977">
      <w:pPr>
        <w:jc w:val="center"/>
      </w:pPr>
    </w:p>
    <w:tbl>
      <w:tblPr>
        <w:tblW w:w="0" w:type="auto"/>
        <w:jc w:val="center"/>
        <w:tblInd w:w="28" w:type="dxa"/>
        <w:tblLayout w:type="fixed"/>
        <w:tblCellMar>
          <w:left w:w="28" w:type="dxa"/>
          <w:right w:w="28" w:type="dxa"/>
        </w:tblCellMar>
        <w:tblLook w:val="0000"/>
      </w:tblPr>
      <w:tblGrid>
        <w:gridCol w:w="318"/>
        <w:gridCol w:w="1273"/>
        <w:gridCol w:w="407"/>
        <w:gridCol w:w="446"/>
        <w:gridCol w:w="706"/>
        <w:gridCol w:w="180"/>
        <w:gridCol w:w="630"/>
        <w:gridCol w:w="180"/>
        <w:gridCol w:w="720"/>
        <w:gridCol w:w="180"/>
        <w:gridCol w:w="810"/>
        <w:gridCol w:w="180"/>
        <w:gridCol w:w="630"/>
        <w:gridCol w:w="180"/>
        <w:gridCol w:w="720"/>
        <w:gridCol w:w="180"/>
      </w:tblGrid>
      <w:tr w:rsidR="00BE1CC5" w:rsidRPr="00BE1CC5" w:rsidTr="00E30977">
        <w:trPr>
          <w:jc w:val="center"/>
        </w:trPr>
        <w:tc>
          <w:tcPr>
            <w:tcW w:w="2444" w:type="dxa"/>
            <w:gridSpan w:val="4"/>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2596" w:type="dxa"/>
            <w:gridSpan w:val="6"/>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Rice stink bug</w:t>
            </w:r>
          </w:p>
        </w:tc>
        <w:tc>
          <w:tcPr>
            <w:tcW w:w="2700" w:type="dxa"/>
            <w:gridSpan w:val="6"/>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Corn Earworm</w:t>
            </w:r>
          </w:p>
        </w:tc>
      </w:tr>
      <w:tr w:rsidR="00BE1CC5" w:rsidRPr="00BE1CC5" w:rsidTr="00E30977">
        <w:trPr>
          <w:jc w:val="center"/>
        </w:trPr>
        <w:tc>
          <w:tcPr>
            <w:tcW w:w="2444" w:type="dxa"/>
            <w:gridSpan w:val="4"/>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886"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Adult</w:t>
            </w:r>
          </w:p>
        </w:tc>
        <w:tc>
          <w:tcPr>
            <w:tcW w:w="810"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Nymph</w:t>
            </w:r>
          </w:p>
        </w:tc>
        <w:tc>
          <w:tcPr>
            <w:tcW w:w="900"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Mixed</w:t>
            </w:r>
          </w:p>
        </w:tc>
        <w:tc>
          <w:tcPr>
            <w:tcW w:w="990"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Medium Worms</w:t>
            </w:r>
          </w:p>
        </w:tc>
        <w:tc>
          <w:tcPr>
            <w:tcW w:w="810"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Large Worms</w:t>
            </w:r>
          </w:p>
        </w:tc>
        <w:tc>
          <w:tcPr>
            <w:tcW w:w="900"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Total Worms</w:t>
            </w:r>
          </w:p>
        </w:tc>
      </w:tr>
      <w:tr w:rsidR="00BE1CC5" w:rsidRPr="00BE1CC5" w:rsidTr="00E30977">
        <w:trPr>
          <w:jc w:val="center"/>
        </w:trPr>
        <w:tc>
          <w:tcPr>
            <w:tcW w:w="2444" w:type="dxa"/>
            <w:gridSpan w:val="4"/>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886"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810"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900"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990"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810"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900"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r>
      <w:tr w:rsidR="00BE1CC5" w:rsidRPr="00BE1CC5" w:rsidTr="00E30977">
        <w:trPr>
          <w:jc w:val="center"/>
        </w:trPr>
        <w:tc>
          <w:tcPr>
            <w:tcW w:w="318"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w:t>
            </w:r>
          </w:p>
        </w:tc>
        <w:tc>
          <w:tcPr>
            <w:tcW w:w="1273"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Untreated Check</w:t>
            </w:r>
          </w:p>
        </w:tc>
        <w:tc>
          <w:tcPr>
            <w:tcW w:w="407"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446"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706"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1.3</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63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0.3</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72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1.5</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81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3.5</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63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5.8</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72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9.3</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r>
      <w:tr w:rsidR="00BE1CC5" w:rsidRPr="00BE1CC5" w:rsidTr="00E30977">
        <w:trPr>
          <w:jc w:val="center"/>
        </w:trPr>
        <w:tc>
          <w:tcPr>
            <w:tcW w:w="318"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2</w:t>
            </w:r>
          </w:p>
        </w:tc>
        <w:tc>
          <w:tcPr>
            <w:tcW w:w="1273"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Dimethoate</w:t>
            </w:r>
          </w:p>
        </w:tc>
        <w:tc>
          <w:tcPr>
            <w:tcW w:w="407"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12</w:t>
            </w:r>
          </w:p>
        </w:tc>
        <w:tc>
          <w:tcPr>
            <w:tcW w:w="446"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oz/a</w:t>
            </w:r>
          </w:p>
        </w:tc>
        <w:tc>
          <w:tcPr>
            <w:tcW w:w="706"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0.3</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63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72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0.3</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81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2.8</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63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8.3</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72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11.0</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r>
      <w:tr w:rsidR="00BE1CC5" w:rsidRPr="00BE1CC5" w:rsidTr="00E30977">
        <w:trPr>
          <w:jc w:val="center"/>
        </w:trPr>
        <w:tc>
          <w:tcPr>
            <w:tcW w:w="318"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3</w:t>
            </w:r>
          </w:p>
        </w:tc>
        <w:tc>
          <w:tcPr>
            <w:tcW w:w="1273"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Dimethoate</w:t>
            </w:r>
          </w:p>
        </w:tc>
        <w:tc>
          <w:tcPr>
            <w:tcW w:w="407"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8</w:t>
            </w:r>
          </w:p>
        </w:tc>
        <w:tc>
          <w:tcPr>
            <w:tcW w:w="446"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oz/a</w:t>
            </w:r>
          </w:p>
        </w:tc>
        <w:tc>
          <w:tcPr>
            <w:tcW w:w="706"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63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72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81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0.3</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c>
          <w:tcPr>
            <w:tcW w:w="63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0.3</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c>
          <w:tcPr>
            <w:tcW w:w="72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0.5</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r>
      <w:tr w:rsidR="00BE1CC5" w:rsidRPr="00BE1CC5" w:rsidTr="00E30977">
        <w:trPr>
          <w:jc w:val="center"/>
        </w:trPr>
        <w:tc>
          <w:tcPr>
            <w:tcW w:w="318"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1273"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Lannate</w:t>
            </w:r>
          </w:p>
        </w:tc>
        <w:tc>
          <w:tcPr>
            <w:tcW w:w="407"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16</w:t>
            </w:r>
          </w:p>
        </w:tc>
        <w:tc>
          <w:tcPr>
            <w:tcW w:w="446"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oz/a</w:t>
            </w:r>
          </w:p>
        </w:tc>
        <w:tc>
          <w:tcPr>
            <w:tcW w:w="706"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63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72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81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63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72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r>
      <w:tr w:rsidR="00BE1CC5" w:rsidRPr="00BE1CC5" w:rsidTr="00E30977">
        <w:trPr>
          <w:jc w:val="center"/>
        </w:trPr>
        <w:tc>
          <w:tcPr>
            <w:tcW w:w="318"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4</w:t>
            </w:r>
          </w:p>
        </w:tc>
        <w:tc>
          <w:tcPr>
            <w:tcW w:w="1273"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Karate</w:t>
            </w:r>
          </w:p>
        </w:tc>
        <w:tc>
          <w:tcPr>
            <w:tcW w:w="407"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3.84</w:t>
            </w:r>
          </w:p>
        </w:tc>
        <w:tc>
          <w:tcPr>
            <w:tcW w:w="446"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oz/a</w:t>
            </w:r>
          </w:p>
        </w:tc>
        <w:tc>
          <w:tcPr>
            <w:tcW w:w="706"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0.3</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63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72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0.3</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81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0.3</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c>
          <w:tcPr>
            <w:tcW w:w="63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0.5</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c>
          <w:tcPr>
            <w:tcW w:w="72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0.8</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r>
      <w:tr w:rsidR="00BE1CC5" w:rsidRPr="00BE1CC5" w:rsidTr="00E30977">
        <w:trPr>
          <w:jc w:val="center"/>
        </w:trPr>
        <w:tc>
          <w:tcPr>
            <w:tcW w:w="318"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5</w:t>
            </w:r>
          </w:p>
        </w:tc>
        <w:tc>
          <w:tcPr>
            <w:tcW w:w="1273"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Dimethoate</w:t>
            </w:r>
          </w:p>
        </w:tc>
        <w:tc>
          <w:tcPr>
            <w:tcW w:w="407"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8</w:t>
            </w:r>
          </w:p>
        </w:tc>
        <w:tc>
          <w:tcPr>
            <w:tcW w:w="446"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oz/a</w:t>
            </w:r>
          </w:p>
        </w:tc>
        <w:tc>
          <w:tcPr>
            <w:tcW w:w="706"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0.3</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63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72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0.3</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81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0.5</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c>
          <w:tcPr>
            <w:tcW w:w="63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c>
          <w:tcPr>
            <w:tcW w:w="72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0.5</w:t>
            </w:r>
          </w:p>
        </w:tc>
        <w:tc>
          <w:tcPr>
            <w:tcW w:w="180" w:type="dxa"/>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r>
      <w:tr w:rsidR="00BE1CC5" w:rsidRPr="00BE1CC5" w:rsidTr="00E30977">
        <w:trPr>
          <w:jc w:val="center"/>
        </w:trPr>
        <w:tc>
          <w:tcPr>
            <w:tcW w:w="318"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1273"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Karate</w:t>
            </w:r>
          </w:p>
        </w:tc>
        <w:tc>
          <w:tcPr>
            <w:tcW w:w="407"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3.84</w:t>
            </w:r>
          </w:p>
        </w:tc>
        <w:tc>
          <w:tcPr>
            <w:tcW w:w="446"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oz/a</w:t>
            </w:r>
          </w:p>
        </w:tc>
        <w:tc>
          <w:tcPr>
            <w:tcW w:w="706"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63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72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81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63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72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c>
          <w:tcPr>
            <w:tcW w:w="180" w:type="dxa"/>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20"/>
                <w:szCs w:val="20"/>
              </w:rPr>
            </w:pPr>
          </w:p>
        </w:tc>
      </w:tr>
      <w:tr w:rsidR="00BE1CC5" w:rsidRPr="00BE1CC5" w:rsidTr="00E30977">
        <w:trPr>
          <w:jc w:val="center"/>
        </w:trPr>
        <w:tc>
          <w:tcPr>
            <w:tcW w:w="318"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6</w:t>
            </w:r>
          </w:p>
        </w:tc>
        <w:tc>
          <w:tcPr>
            <w:tcW w:w="1273"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Endego</w:t>
            </w:r>
          </w:p>
        </w:tc>
        <w:tc>
          <w:tcPr>
            <w:tcW w:w="407"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4.5</w:t>
            </w:r>
          </w:p>
        </w:tc>
        <w:tc>
          <w:tcPr>
            <w:tcW w:w="446"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oz/a</w:t>
            </w:r>
          </w:p>
        </w:tc>
        <w:tc>
          <w:tcPr>
            <w:tcW w:w="706"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0.5</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63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72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0.5</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81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c>
          <w:tcPr>
            <w:tcW w:w="63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0.5</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c>
          <w:tcPr>
            <w:tcW w:w="72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0.5</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r>
      <w:tr w:rsidR="00BE1CC5" w:rsidRPr="00BE1CC5" w:rsidTr="00E30977">
        <w:trPr>
          <w:jc w:val="center"/>
        </w:trPr>
        <w:tc>
          <w:tcPr>
            <w:tcW w:w="318"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7</w:t>
            </w:r>
          </w:p>
        </w:tc>
        <w:tc>
          <w:tcPr>
            <w:tcW w:w="1273"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Declare</w:t>
            </w:r>
          </w:p>
        </w:tc>
        <w:tc>
          <w:tcPr>
            <w:tcW w:w="407"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1.54</w:t>
            </w:r>
          </w:p>
        </w:tc>
        <w:tc>
          <w:tcPr>
            <w:tcW w:w="446"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oz/a</w:t>
            </w:r>
          </w:p>
        </w:tc>
        <w:tc>
          <w:tcPr>
            <w:tcW w:w="706"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1.0</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63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72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1.0</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a</w:t>
            </w:r>
          </w:p>
        </w:tc>
        <w:tc>
          <w:tcPr>
            <w:tcW w:w="81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0.8</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c>
          <w:tcPr>
            <w:tcW w:w="63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c>
          <w:tcPr>
            <w:tcW w:w="72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0.8</w:t>
            </w:r>
          </w:p>
        </w:tc>
        <w:tc>
          <w:tcPr>
            <w:tcW w:w="180" w:type="dxa"/>
            <w:tcBorders>
              <w:top w:val="single" w:sz="4" w:space="0" w:color="auto"/>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b</w:t>
            </w:r>
          </w:p>
        </w:tc>
      </w:tr>
      <w:tr w:rsidR="00BE1CC5" w:rsidRPr="00BE1CC5" w:rsidTr="00E30977">
        <w:trPr>
          <w:jc w:val="center"/>
        </w:trPr>
        <w:tc>
          <w:tcPr>
            <w:tcW w:w="2444" w:type="dxa"/>
            <w:gridSpan w:val="4"/>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886"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810"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900"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990"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810"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c>
          <w:tcPr>
            <w:tcW w:w="900" w:type="dxa"/>
            <w:gridSpan w:val="2"/>
            <w:tcBorders>
              <w:top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p>
        </w:tc>
      </w:tr>
      <w:tr w:rsidR="00BE1CC5" w:rsidRPr="00BE1CC5" w:rsidTr="00E30977">
        <w:trPr>
          <w:jc w:val="center"/>
        </w:trPr>
        <w:tc>
          <w:tcPr>
            <w:tcW w:w="2444" w:type="dxa"/>
            <w:gridSpan w:val="4"/>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LSD (P=.10)</w:t>
            </w:r>
          </w:p>
        </w:tc>
        <w:tc>
          <w:tcPr>
            <w:tcW w:w="886"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0.92</w:t>
            </w:r>
          </w:p>
        </w:tc>
        <w:tc>
          <w:tcPr>
            <w:tcW w:w="81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0.23</w:t>
            </w:r>
          </w:p>
        </w:tc>
        <w:tc>
          <w:tcPr>
            <w:tcW w:w="90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0.96</w:t>
            </w:r>
          </w:p>
        </w:tc>
        <w:tc>
          <w:tcPr>
            <w:tcW w:w="99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1.70</w:t>
            </w:r>
          </w:p>
        </w:tc>
        <w:tc>
          <w:tcPr>
            <w:tcW w:w="81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3.04</w:t>
            </w:r>
          </w:p>
        </w:tc>
        <w:tc>
          <w:tcPr>
            <w:tcW w:w="90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4.26</w:t>
            </w:r>
          </w:p>
        </w:tc>
      </w:tr>
      <w:tr w:rsidR="00BE1CC5" w:rsidRPr="00BE1CC5" w:rsidTr="00E30977">
        <w:trPr>
          <w:jc w:val="center"/>
        </w:trPr>
        <w:tc>
          <w:tcPr>
            <w:tcW w:w="2444" w:type="dxa"/>
            <w:gridSpan w:val="4"/>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Standard Deviation</w:t>
            </w:r>
          </w:p>
        </w:tc>
        <w:tc>
          <w:tcPr>
            <w:tcW w:w="886"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0.75</w:t>
            </w:r>
          </w:p>
        </w:tc>
        <w:tc>
          <w:tcPr>
            <w:tcW w:w="81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0.19</w:t>
            </w:r>
          </w:p>
        </w:tc>
        <w:tc>
          <w:tcPr>
            <w:tcW w:w="90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0.78</w:t>
            </w:r>
          </w:p>
        </w:tc>
        <w:tc>
          <w:tcPr>
            <w:tcW w:w="99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1.39</w:t>
            </w:r>
          </w:p>
        </w:tc>
        <w:tc>
          <w:tcPr>
            <w:tcW w:w="81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2.48</w:t>
            </w:r>
          </w:p>
        </w:tc>
        <w:tc>
          <w:tcPr>
            <w:tcW w:w="90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3.47</w:t>
            </w:r>
          </w:p>
        </w:tc>
      </w:tr>
      <w:tr w:rsidR="00BE1CC5" w:rsidRPr="00BE1CC5" w:rsidTr="00E30977">
        <w:trPr>
          <w:jc w:val="center"/>
        </w:trPr>
        <w:tc>
          <w:tcPr>
            <w:tcW w:w="2444" w:type="dxa"/>
            <w:gridSpan w:val="4"/>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CV</w:t>
            </w:r>
          </w:p>
        </w:tc>
        <w:tc>
          <w:tcPr>
            <w:tcW w:w="886"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150.13</w:t>
            </w:r>
          </w:p>
        </w:tc>
        <w:tc>
          <w:tcPr>
            <w:tcW w:w="81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529.15</w:t>
            </w:r>
          </w:p>
        </w:tc>
        <w:tc>
          <w:tcPr>
            <w:tcW w:w="90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145.92</w:t>
            </w:r>
          </w:p>
        </w:tc>
        <w:tc>
          <w:tcPr>
            <w:tcW w:w="99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121.51</w:t>
            </w:r>
          </w:p>
        </w:tc>
        <w:tc>
          <w:tcPr>
            <w:tcW w:w="81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113.84</w:t>
            </w:r>
          </w:p>
        </w:tc>
        <w:tc>
          <w:tcPr>
            <w:tcW w:w="900" w:type="dxa"/>
            <w:gridSpan w:val="2"/>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104.57</w:t>
            </w:r>
          </w:p>
        </w:tc>
      </w:tr>
      <w:tr w:rsidR="00BE1CC5" w:rsidRPr="00BE1CC5" w:rsidTr="00E30977">
        <w:trPr>
          <w:jc w:val="center"/>
        </w:trPr>
        <w:tc>
          <w:tcPr>
            <w:tcW w:w="2444" w:type="dxa"/>
            <w:gridSpan w:val="4"/>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Treatment Prob(F)</w:t>
            </w:r>
          </w:p>
        </w:tc>
        <w:tc>
          <w:tcPr>
            <w:tcW w:w="886"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0.2409</w:t>
            </w:r>
          </w:p>
        </w:tc>
        <w:tc>
          <w:tcPr>
            <w:tcW w:w="810"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0.4552</w:t>
            </w:r>
          </w:p>
        </w:tc>
        <w:tc>
          <w:tcPr>
            <w:tcW w:w="900"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0.1493</w:t>
            </w:r>
          </w:p>
        </w:tc>
        <w:tc>
          <w:tcPr>
            <w:tcW w:w="990"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0.0100</w:t>
            </w:r>
          </w:p>
        </w:tc>
        <w:tc>
          <w:tcPr>
            <w:tcW w:w="810"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0.0004</w:t>
            </w:r>
          </w:p>
        </w:tc>
        <w:tc>
          <w:tcPr>
            <w:tcW w:w="900" w:type="dxa"/>
            <w:gridSpan w:val="2"/>
            <w:tcBorders>
              <w:bottom w:val="single" w:sz="4" w:space="0" w:color="auto"/>
            </w:tcBorders>
            <w:vAlign w:val="center"/>
          </w:tcPr>
          <w:p w:rsidR="00BE1CC5" w:rsidRPr="00BE1CC5" w:rsidRDefault="00BE1CC5" w:rsidP="00E30977">
            <w:pPr>
              <w:autoSpaceDE w:val="0"/>
              <w:autoSpaceDN w:val="0"/>
              <w:spacing w:after="0" w:line="240" w:lineRule="auto"/>
              <w:jc w:val="center"/>
              <w:rPr>
                <w:rFonts w:ascii="Arial" w:eastAsiaTheme="minorEastAsia" w:hAnsi="Arial" w:cs="Arial"/>
                <w:sz w:val="16"/>
                <w:szCs w:val="16"/>
              </w:rPr>
            </w:pPr>
            <w:r w:rsidRPr="00BE1CC5">
              <w:rPr>
                <w:rFonts w:ascii="Arial" w:eastAsiaTheme="minorEastAsia" w:hAnsi="Arial" w:cs="Arial"/>
                <w:sz w:val="16"/>
                <w:szCs w:val="16"/>
              </w:rPr>
              <w:t>0.0005</w:t>
            </w:r>
          </w:p>
        </w:tc>
      </w:tr>
    </w:tbl>
    <w:p w:rsidR="00BE1CC5" w:rsidRDefault="00BE1CC5" w:rsidP="00E30977">
      <w:pPr>
        <w:jc w:val="center"/>
      </w:pPr>
    </w:p>
    <w:p w:rsidR="001C3846" w:rsidRPr="0064289B" w:rsidRDefault="001C3846">
      <w:pPr>
        <w:rPr>
          <w:b/>
        </w:rPr>
      </w:pPr>
      <w:r w:rsidRPr="0064289B">
        <w:rPr>
          <w:b/>
        </w:rPr>
        <w:lastRenderedPageBreak/>
        <w:t>Cotton</w:t>
      </w:r>
      <w:r w:rsidR="00E30977">
        <w:rPr>
          <w:b/>
        </w:rPr>
        <w:tab/>
      </w:r>
      <w:r w:rsidR="00E30977">
        <w:rPr>
          <w:b/>
        </w:rPr>
        <w:tab/>
      </w:r>
      <w:r w:rsidR="00E30977">
        <w:rPr>
          <w:b/>
        </w:rPr>
        <w:tab/>
      </w:r>
      <w:r w:rsidR="00E30977">
        <w:rPr>
          <w:b/>
        </w:rPr>
        <w:tab/>
      </w:r>
      <w:r w:rsidR="00E30977">
        <w:rPr>
          <w:b/>
        </w:rPr>
        <w:tab/>
      </w:r>
      <w:r w:rsidR="00E30977">
        <w:rPr>
          <w:b/>
        </w:rPr>
        <w:tab/>
      </w:r>
      <w:r w:rsidR="00E30977">
        <w:rPr>
          <w:b/>
        </w:rPr>
        <w:tab/>
      </w:r>
      <w:r w:rsidR="00E30977">
        <w:rPr>
          <w:b/>
        </w:rPr>
        <w:tab/>
      </w:r>
      <w:r w:rsidR="00E30977">
        <w:rPr>
          <w:b/>
        </w:rPr>
        <w:tab/>
      </w:r>
      <w:r w:rsidR="00E30977">
        <w:rPr>
          <w:b/>
        </w:rPr>
        <w:tab/>
      </w:r>
      <w:r w:rsidR="00E30977">
        <w:rPr>
          <w:b/>
        </w:rPr>
        <w:tab/>
      </w:r>
      <w:r w:rsidR="00E30977" w:rsidRPr="00E30977">
        <w:rPr>
          <w:b/>
          <w:noProof/>
        </w:rPr>
        <w:drawing>
          <wp:inline distT="0" distB="0" distL="0" distR="0">
            <wp:extent cx="804409" cy="553674"/>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09448" cy="557142"/>
                    </a:xfrm>
                    <a:prstGeom prst="rect">
                      <a:avLst/>
                    </a:prstGeom>
                    <a:noFill/>
                    <a:ln w="9525">
                      <a:noFill/>
                      <a:miter lim="800000"/>
                      <a:headEnd/>
                      <a:tailEnd/>
                    </a:ln>
                  </pic:spPr>
                </pic:pic>
              </a:graphicData>
            </a:graphic>
          </wp:inline>
        </w:drawing>
      </w:r>
    </w:p>
    <w:p w:rsidR="00BE1CC5" w:rsidRDefault="00BE1CC5">
      <w:r>
        <w:t>Most if not all cotton fields are blooming and total nodes above white flower averages range from 9 to 2 NAWF.  Blooming cotton should be inspected for Verde Plant Bug (</w:t>
      </w:r>
      <w:r>
        <w:rPr>
          <w:i/>
        </w:rPr>
        <w:t>Creontiades</w:t>
      </w:r>
      <w:r>
        <w:t xml:space="preserve">), Stink Bugs and Cotton Bollworms.  Our surveys of cotton fields have found few stink bugs and verde plant bugs.  When cutting bolls for evidence of feeding inspections, we have yet to find fields exceeding our economic threshold of 20%.  </w:t>
      </w:r>
    </w:p>
    <w:p w:rsidR="001C3846" w:rsidRDefault="005D5774">
      <w:r>
        <w:t>We</w:t>
      </w:r>
      <w:r w:rsidR="00BE1CC5">
        <w:t xml:space="preserve"> have not found </w:t>
      </w:r>
      <w:r>
        <w:t>many bollworm eggs in cotton fields but continue to find cotton square borer eggs and larvae.  Treatment for cotton square borer is rarely justified.  Light numbers of aphids can be found in most cotton fields.</w:t>
      </w:r>
    </w:p>
    <w:p w:rsidR="00E30977" w:rsidRDefault="0064289B" w:rsidP="00E30977">
      <w:r>
        <w:rPr>
          <w:noProof/>
        </w:rPr>
        <w:drawing>
          <wp:anchor distT="0" distB="0" distL="114300" distR="114300" simplePos="0" relativeHeight="251659264" behindDoc="0" locked="0" layoutInCell="1" allowOverlap="1">
            <wp:simplePos x="0" y="0"/>
            <wp:positionH relativeFrom="column">
              <wp:posOffset>3016250</wp:posOffset>
            </wp:positionH>
            <wp:positionV relativeFrom="paragraph">
              <wp:posOffset>1123950</wp:posOffset>
            </wp:positionV>
            <wp:extent cx="3206750" cy="2266950"/>
            <wp:effectExtent l="0" t="0" r="0" b="0"/>
            <wp:wrapSquare wrapText="bothSides"/>
            <wp:docPr id="1" name="Picture 1" descr="C:\Users\Agent\Desktop\Phone Pics\2012-06-1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nt\Desktop\Phone Pics\2012-06-14\00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6750" cy="22669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1123950</wp:posOffset>
            </wp:positionV>
            <wp:extent cx="3009265" cy="2266950"/>
            <wp:effectExtent l="0" t="0" r="635" b="0"/>
            <wp:wrapSquare wrapText="bothSides"/>
            <wp:docPr id="2" name="Picture 2" descr="C:\Users\Agent\Desktop\Phone Pics\2012-06-1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ent\Desktop\Phone Pics\2012-06-14\00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265" cy="2266950"/>
                    </a:xfrm>
                    <a:prstGeom prst="rect">
                      <a:avLst/>
                    </a:prstGeom>
                    <a:noFill/>
                    <a:ln>
                      <a:noFill/>
                    </a:ln>
                  </pic:spPr>
                </pic:pic>
              </a:graphicData>
            </a:graphic>
          </wp:anchor>
        </w:drawing>
      </w:r>
      <w:r w:rsidR="00FB3E31">
        <w:t xml:space="preserve">Another insect we have been finding is the </w:t>
      </w:r>
      <w:r>
        <w:rPr>
          <w:b/>
        </w:rPr>
        <w:t>Salt</w:t>
      </w:r>
      <w:r w:rsidR="00FB3E31" w:rsidRPr="0064289B">
        <w:rPr>
          <w:b/>
        </w:rPr>
        <w:t>marsh</w:t>
      </w:r>
      <w:r>
        <w:rPr>
          <w:b/>
        </w:rPr>
        <w:t xml:space="preserve"> or Wollybear</w:t>
      </w:r>
      <w:r w:rsidR="00FB3E31" w:rsidRPr="0064289B">
        <w:rPr>
          <w:b/>
        </w:rPr>
        <w:t xml:space="preserve"> caterpillar</w:t>
      </w:r>
      <w:r w:rsidR="00FB3E31">
        <w:t>.  These caterpillars will grow to a length of 2-2</w:t>
      </w:r>
      <w:r w:rsidR="00FB3E31">
        <w:rPr>
          <w:rFonts w:cstheme="minorHAnsi"/>
        </w:rPr>
        <w:t>¼</w:t>
      </w:r>
      <w:r w:rsidR="00FB3E31">
        <w:t xml:space="preserve"> inches long and have many whitish hairs covering the body.  The larvae feed primarily on leaves and require high numbers to be yield limiting insects.  While the female moth lays eggs in masses, </w:t>
      </w:r>
      <w:r w:rsidR="00E30977">
        <w:t>we have not seen them in numbers greater than 1 in 10-20 plants.</w:t>
      </w:r>
    </w:p>
    <w:p w:rsidR="00E30977" w:rsidRDefault="00E30977" w:rsidP="00E30977">
      <w:pPr>
        <w:spacing w:after="0" w:line="240" w:lineRule="auto"/>
      </w:pPr>
    </w:p>
    <w:p w:rsidR="00E30977" w:rsidRDefault="00E30977" w:rsidP="00E30977">
      <w:pPr>
        <w:spacing w:after="0" w:line="240" w:lineRule="auto"/>
        <w:rPr>
          <w:rFonts w:ascii="Times New Roman" w:hAnsi="Times New Roman"/>
          <w:b/>
          <w:color w:val="006600"/>
          <w:sz w:val="24"/>
          <w:szCs w:val="24"/>
        </w:rPr>
      </w:pPr>
    </w:p>
    <w:p w:rsidR="00E30977" w:rsidRDefault="00E30977" w:rsidP="00E30977">
      <w:pPr>
        <w:spacing w:after="0" w:line="240" w:lineRule="auto"/>
        <w:rPr>
          <w:rFonts w:ascii="Times New Roman" w:hAnsi="Times New Roman"/>
          <w:b/>
          <w:color w:val="006600"/>
          <w:sz w:val="24"/>
          <w:szCs w:val="24"/>
        </w:rPr>
      </w:pPr>
    </w:p>
    <w:p w:rsidR="00E30977" w:rsidRPr="00E30977" w:rsidRDefault="00E30977" w:rsidP="00E30977">
      <w:pPr>
        <w:spacing w:after="0" w:line="240" w:lineRule="auto"/>
        <w:rPr>
          <w:rFonts w:ascii="Times New Roman" w:hAnsi="Times New Roman"/>
          <w:b/>
          <w:color w:val="006600"/>
          <w:sz w:val="24"/>
          <w:szCs w:val="24"/>
        </w:rPr>
      </w:pPr>
      <w:r>
        <w:rPr>
          <w:rFonts w:ascii="Times New Roman" w:hAnsi="Times New Roman"/>
          <w:b/>
          <w:noProof/>
          <w:color w:val="006600"/>
          <w:sz w:val="24"/>
          <w:szCs w:val="24"/>
        </w:rPr>
        <w:drawing>
          <wp:inline distT="0" distB="0" distL="0" distR="0">
            <wp:extent cx="478155" cy="478155"/>
            <wp:effectExtent l="0" t="0" r="0" b="0"/>
            <wp:docPr id="37" name="Picture 22" descr="C:\Documents and Settings\AGNR\Local Settings\Temporary Internet Files\Content.IE5\A67ULC6L\MC9004363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GNR\Local Settings\Temporary Internet Files\Content.IE5\A67ULC6L\MC900436357[1].png"/>
                    <pic:cNvPicPr>
                      <a:picLocks noChangeAspect="1" noChangeArrowheads="1"/>
                    </pic:cNvPicPr>
                  </pic:nvPicPr>
                  <pic:blipFill>
                    <a:blip r:embed="rId10" cstate="print"/>
                    <a:srcRect/>
                    <a:stretch>
                      <a:fillRect/>
                    </a:stretch>
                  </pic:blipFill>
                  <pic:spPr bwMode="auto">
                    <a:xfrm>
                      <a:off x="0" y="0"/>
                      <a:ext cx="478155" cy="478155"/>
                    </a:xfrm>
                    <a:prstGeom prst="rect">
                      <a:avLst/>
                    </a:prstGeom>
                    <a:noFill/>
                    <a:ln w="9525">
                      <a:noFill/>
                      <a:miter lim="800000"/>
                      <a:headEnd/>
                      <a:tailEnd/>
                    </a:ln>
                  </pic:spPr>
                </pic:pic>
              </a:graphicData>
            </a:graphic>
          </wp:inline>
        </w:drawing>
      </w:r>
      <w:r>
        <w:rPr>
          <w:rFonts w:ascii="Times New Roman" w:hAnsi="Times New Roman"/>
          <w:b/>
          <w:color w:val="006600"/>
          <w:sz w:val="24"/>
          <w:szCs w:val="24"/>
        </w:rPr>
        <w:tab/>
      </w:r>
      <w:r>
        <w:rPr>
          <w:rFonts w:ascii="Times New Roman" w:hAnsi="Times New Roman"/>
          <w:b/>
          <w:color w:val="006600"/>
          <w:sz w:val="24"/>
          <w:szCs w:val="24"/>
        </w:rPr>
        <w:tab/>
      </w:r>
      <w:r w:rsidRPr="00E30977">
        <w:rPr>
          <w:rFonts w:ascii="Times New Roman" w:hAnsi="Times New Roman"/>
          <w:b/>
          <w:color w:val="006600"/>
          <w:sz w:val="24"/>
          <w:szCs w:val="24"/>
        </w:rPr>
        <w:tab/>
        <w:t>2012 CROP TOUR SCHEDULE</w:t>
      </w:r>
      <w:r w:rsidRPr="00E30977">
        <w:rPr>
          <w:rFonts w:ascii="Times New Roman" w:hAnsi="Times New Roman"/>
          <w:b/>
          <w:color w:val="006600"/>
          <w:sz w:val="24"/>
          <w:szCs w:val="24"/>
        </w:rPr>
        <w:tab/>
      </w:r>
      <w:r w:rsidRPr="00E30977">
        <w:rPr>
          <w:rFonts w:ascii="Times New Roman" w:hAnsi="Times New Roman"/>
          <w:b/>
          <w:color w:val="006600"/>
          <w:sz w:val="24"/>
          <w:szCs w:val="24"/>
        </w:rPr>
        <w:tab/>
      </w:r>
      <w:r w:rsidRPr="00E30977">
        <w:rPr>
          <w:rFonts w:ascii="Times New Roman" w:hAnsi="Times New Roman"/>
          <w:b/>
          <w:color w:val="006600"/>
          <w:sz w:val="24"/>
          <w:szCs w:val="24"/>
        </w:rPr>
        <w:tab/>
      </w:r>
      <w:r w:rsidRPr="00E30977">
        <w:rPr>
          <w:rFonts w:ascii="Times New Roman" w:hAnsi="Times New Roman"/>
          <w:b/>
          <w:color w:val="006600"/>
          <w:sz w:val="24"/>
          <w:szCs w:val="24"/>
        </w:rPr>
        <w:tab/>
      </w:r>
      <w:r w:rsidRPr="00E30977">
        <w:rPr>
          <w:rFonts w:ascii="Times New Roman" w:hAnsi="Times New Roman"/>
          <w:b/>
          <w:noProof/>
          <w:color w:val="006600"/>
          <w:sz w:val="24"/>
          <w:szCs w:val="24"/>
        </w:rPr>
        <w:drawing>
          <wp:inline distT="0" distB="0" distL="0" distR="0">
            <wp:extent cx="360680" cy="478155"/>
            <wp:effectExtent l="19050" t="0" r="1270" b="0"/>
            <wp:docPr id="38" name="Picture 23" descr="C:\Documents and Settings\AGNR\Local Settings\Temporary Internet Files\Content.IE5\HKNNUJN1\MC900037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GNR\Local Settings\Temporary Internet Files\Content.IE5\HKNNUJN1\MC900037203[1].wmf"/>
                    <pic:cNvPicPr>
                      <a:picLocks noChangeAspect="1" noChangeArrowheads="1"/>
                    </pic:cNvPicPr>
                  </pic:nvPicPr>
                  <pic:blipFill>
                    <a:blip r:embed="rId11" cstate="print"/>
                    <a:srcRect/>
                    <a:stretch>
                      <a:fillRect/>
                    </a:stretch>
                  </pic:blipFill>
                  <pic:spPr bwMode="auto">
                    <a:xfrm>
                      <a:off x="0" y="0"/>
                      <a:ext cx="360680" cy="478155"/>
                    </a:xfrm>
                    <a:prstGeom prst="rect">
                      <a:avLst/>
                    </a:prstGeom>
                    <a:noFill/>
                    <a:ln w="9525">
                      <a:noFill/>
                      <a:miter lim="800000"/>
                      <a:headEnd/>
                      <a:tailEnd/>
                    </a:ln>
                  </pic:spPr>
                </pic:pic>
              </a:graphicData>
            </a:graphic>
          </wp:inline>
        </w:drawing>
      </w:r>
    </w:p>
    <w:p w:rsidR="00E30977" w:rsidRPr="00E30977" w:rsidRDefault="00E30977" w:rsidP="00E30977">
      <w:pPr>
        <w:pBdr>
          <w:top w:val="thickThinSmallGap" w:sz="24" w:space="0" w:color="auto"/>
          <w:left w:val="thickThinSmallGap" w:sz="24" w:space="4" w:color="auto"/>
          <w:bottom w:val="thinThickSmallGap" w:sz="24" w:space="4" w:color="auto"/>
          <w:right w:val="thinThickSmallGap" w:sz="24" w:space="4" w:color="auto"/>
        </w:pBdr>
        <w:spacing w:after="0" w:line="240" w:lineRule="auto"/>
        <w:jc w:val="center"/>
        <w:rPr>
          <w:rFonts w:ascii="Times New Roman" w:hAnsi="Times New Roman"/>
          <w:b/>
          <w:sz w:val="24"/>
          <w:szCs w:val="24"/>
        </w:rPr>
      </w:pPr>
    </w:p>
    <w:p w:rsidR="00E30977" w:rsidRPr="00E30977" w:rsidRDefault="00E30977" w:rsidP="00E30977">
      <w:pPr>
        <w:pBdr>
          <w:top w:val="thickThinSmallGap" w:sz="24" w:space="0" w:color="auto"/>
          <w:left w:val="thickThinSmallGap" w:sz="24" w:space="4" w:color="auto"/>
          <w:bottom w:val="thinThickSmallGap" w:sz="24" w:space="4" w:color="auto"/>
          <w:right w:val="thinThickSmallGap" w:sz="24" w:space="4" w:color="auto"/>
        </w:pBdr>
        <w:spacing w:after="0" w:line="240" w:lineRule="auto"/>
        <w:rPr>
          <w:rFonts w:ascii="Times New Roman" w:hAnsi="Times New Roman"/>
          <w:b/>
          <w:color w:val="006600"/>
          <w:sz w:val="24"/>
          <w:szCs w:val="24"/>
        </w:rPr>
      </w:pPr>
      <w:r w:rsidRPr="00E30977">
        <w:rPr>
          <w:rFonts w:ascii="Times New Roman" w:hAnsi="Times New Roman"/>
          <w:b/>
          <w:color w:val="006600"/>
          <w:sz w:val="24"/>
          <w:szCs w:val="24"/>
        </w:rPr>
        <w:t>JUNE 19, 2012</w:t>
      </w:r>
      <w:r w:rsidRPr="00E30977">
        <w:rPr>
          <w:rFonts w:ascii="Times New Roman" w:hAnsi="Times New Roman"/>
          <w:b/>
          <w:color w:val="006600"/>
          <w:sz w:val="24"/>
          <w:szCs w:val="24"/>
        </w:rPr>
        <w:tab/>
      </w:r>
      <w:r w:rsidRPr="00E30977">
        <w:rPr>
          <w:rFonts w:ascii="Times New Roman" w:hAnsi="Times New Roman"/>
          <w:b/>
          <w:color w:val="006600"/>
          <w:sz w:val="24"/>
          <w:szCs w:val="24"/>
        </w:rPr>
        <w:tab/>
      </w:r>
      <w:r w:rsidRPr="00E30977">
        <w:rPr>
          <w:rFonts w:ascii="Times New Roman" w:hAnsi="Times New Roman"/>
          <w:b/>
          <w:color w:val="006600"/>
          <w:sz w:val="24"/>
          <w:szCs w:val="24"/>
        </w:rPr>
        <w:tab/>
        <w:t>CALHOUN COUNTY</w:t>
      </w:r>
    </w:p>
    <w:p w:rsidR="00E30977" w:rsidRPr="00E30977" w:rsidRDefault="00E30977" w:rsidP="00E30977">
      <w:pPr>
        <w:pBdr>
          <w:top w:val="thickThinSmallGap" w:sz="24" w:space="0" w:color="auto"/>
          <w:left w:val="thickThinSmallGap" w:sz="24" w:space="4" w:color="auto"/>
          <w:bottom w:val="thinThickSmallGap" w:sz="24" w:space="4" w:color="auto"/>
          <w:right w:val="thinThickSmallGap" w:sz="24" w:space="4" w:color="auto"/>
        </w:pBdr>
        <w:spacing w:after="0" w:line="240" w:lineRule="auto"/>
        <w:rPr>
          <w:rFonts w:ascii="Times New Roman" w:hAnsi="Times New Roman"/>
          <w:sz w:val="24"/>
          <w:szCs w:val="24"/>
        </w:rPr>
      </w:pP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sz w:val="24"/>
          <w:szCs w:val="24"/>
        </w:rPr>
        <w:t>For information call 361-552-9747</w:t>
      </w:r>
    </w:p>
    <w:p w:rsidR="00E30977" w:rsidRPr="00E30977" w:rsidRDefault="00E30977" w:rsidP="00E30977">
      <w:pPr>
        <w:pBdr>
          <w:top w:val="thickThinSmallGap" w:sz="24" w:space="0" w:color="auto"/>
          <w:left w:val="thickThinSmallGap" w:sz="24" w:space="4" w:color="auto"/>
          <w:bottom w:val="thinThickSmallGap" w:sz="24" w:space="4" w:color="auto"/>
          <w:right w:val="thinThickSmallGap" w:sz="24" w:space="4" w:color="auto"/>
        </w:pBdr>
        <w:spacing w:after="0" w:line="240" w:lineRule="auto"/>
        <w:rPr>
          <w:rFonts w:ascii="Times New Roman" w:hAnsi="Times New Roman"/>
          <w:b/>
          <w:color w:val="006600"/>
          <w:sz w:val="24"/>
          <w:szCs w:val="24"/>
        </w:rPr>
      </w:pPr>
      <w:r w:rsidRPr="00E30977">
        <w:rPr>
          <w:rFonts w:ascii="Times New Roman" w:hAnsi="Times New Roman"/>
          <w:b/>
          <w:color w:val="006600"/>
          <w:sz w:val="24"/>
          <w:szCs w:val="24"/>
        </w:rPr>
        <w:t>JUNE 20, 2012</w:t>
      </w:r>
      <w:r w:rsidRPr="00E30977">
        <w:rPr>
          <w:rFonts w:ascii="Times New Roman" w:hAnsi="Times New Roman"/>
          <w:b/>
          <w:color w:val="006600"/>
          <w:sz w:val="24"/>
          <w:szCs w:val="24"/>
        </w:rPr>
        <w:tab/>
      </w:r>
      <w:r w:rsidRPr="00E30977">
        <w:rPr>
          <w:rFonts w:ascii="Times New Roman" w:hAnsi="Times New Roman"/>
          <w:b/>
          <w:color w:val="006600"/>
          <w:sz w:val="24"/>
          <w:szCs w:val="24"/>
        </w:rPr>
        <w:tab/>
      </w:r>
      <w:r w:rsidRPr="00E30977">
        <w:rPr>
          <w:rFonts w:ascii="Times New Roman" w:hAnsi="Times New Roman"/>
          <w:b/>
          <w:color w:val="006600"/>
          <w:sz w:val="24"/>
          <w:szCs w:val="24"/>
        </w:rPr>
        <w:tab/>
        <w:t>VICTORIA COUNTY</w:t>
      </w:r>
    </w:p>
    <w:p w:rsidR="00E30977" w:rsidRPr="00E30977" w:rsidRDefault="00E30977" w:rsidP="00E30977">
      <w:pPr>
        <w:pBdr>
          <w:top w:val="thickThinSmallGap" w:sz="24" w:space="0" w:color="auto"/>
          <w:left w:val="thickThinSmallGap" w:sz="24" w:space="4" w:color="auto"/>
          <w:bottom w:val="thinThickSmallGap" w:sz="24" w:space="4" w:color="auto"/>
          <w:right w:val="thinThickSmallGap" w:sz="24" w:space="4" w:color="auto"/>
        </w:pBdr>
        <w:spacing w:after="0" w:line="240" w:lineRule="auto"/>
        <w:rPr>
          <w:rFonts w:ascii="Times New Roman" w:hAnsi="Times New Roman"/>
          <w:sz w:val="24"/>
          <w:szCs w:val="24"/>
        </w:rPr>
      </w:pP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b/>
          <w:sz w:val="24"/>
          <w:szCs w:val="24"/>
        </w:rPr>
        <w:tab/>
      </w:r>
      <w:r w:rsidRPr="00E30977">
        <w:rPr>
          <w:rFonts w:ascii="Times New Roman" w:hAnsi="Times New Roman"/>
          <w:sz w:val="24"/>
          <w:szCs w:val="24"/>
        </w:rPr>
        <w:t>For information call 361-575-4581</w:t>
      </w:r>
    </w:p>
    <w:p w:rsidR="00E30977" w:rsidRDefault="007B458F" w:rsidP="00E30977">
      <w:pPr>
        <w:spacing w:after="0" w:line="240" w:lineRule="auto"/>
        <w:ind w:left="7920" w:firstLine="720"/>
        <w:jc w:val="both"/>
      </w:pPr>
      <w:r w:rsidRPr="007B458F">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2.05pt;margin-top:2.55pt;width:404.6pt;height:19.8pt;z-index:251661312">
            <v:textbox>
              <w:txbxContent>
                <w:p w:rsidR="00E30977" w:rsidRPr="00974A7D" w:rsidRDefault="00E30977" w:rsidP="00E30977">
                  <w:pPr>
                    <w:rPr>
                      <w:rFonts w:ascii="Times New Roman" w:hAnsi="Times New Roman" w:cs="Times New Roman"/>
                      <w:sz w:val="18"/>
                      <w:szCs w:val="18"/>
                    </w:rPr>
                  </w:pPr>
                  <w:r>
                    <w:rPr>
                      <w:rFonts w:ascii="Times New Roman" w:hAnsi="Times New Roman" w:cs="Times New Roman"/>
                      <w:sz w:val="18"/>
                      <w:szCs w:val="18"/>
                    </w:rPr>
                    <w:t>Calhoun County will be offering Texas CCA CEU’s – 1.0 – Pest Management; .50 – Crop Management</w:t>
                  </w:r>
                </w:p>
              </w:txbxContent>
            </v:textbox>
          </v:shape>
        </w:pict>
      </w:r>
    </w:p>
    <w:p w:rsidR="00E30977" w:rsidRDefault="00E30977" w:rsidP="00E30977">
      <w:pPr>
        <w:rPr>
          <w:rFonts w:ascii="Times New Roman" w:hAnsi="Times New Roman"/>
          <w:b/>
          <w:sz w:val="20"/>
          <w:szCs w:val="20"/>
        </w:rPr>
      </w:pPr>
    </w:p>
    <w:p w:rsidR="00E30977" w:rsidRDefault="00E30977" w:rsidP="00E30977">
      <w:pPr>
        <w:rPr>
          <w:rFonts w:ascii="Times New Roman" w:hAnsi="Times New Roman"/>
          <w:b/>
          <w:sz w:val="20"/>
          <w:szCs w:val="20"/>
        </w:rPr>
      </w:pPr>
    </w:p>
    <w:sectPr w:rsidR="00E30977" w:rsidSect="00E30977">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KabelITCbyBT-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846"/>
    <w:rsid w:val="001C3846"/>
    <w:rsid w:val="004B2BC6"/>
    <w:rsid w:val="00545EEB"/>
    <w:rsid w:val="005D5774"/>
    <w:rsid w:val="0064289B"/>
    <w:rsid w:val="00651E48"/>
    <w:rsid w:val="007B458F"/>
    <w:rsid w:val="0088611D"/>
    <w:rsid w:val="00BE1CC5"/>
    <w:rsid w:val="00DF6D9D"/>
    <w:rsid w:val="00E30977"/>
    <w:rsid w:val="00FB3E31"/>
    <w:rsid w:val="00FE7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31"/>
    <w:rPr>
      <w:rFonts w:ascii="Tahoma" w:hAnsi="Tahoma" w:cs="Tahoma"/>
      <w:sz w:val="16"/>
      <w:szCs w:val="16"/>
    </w:rPr>
  </w:style>
  <w:style w:type="character" w:styleId="Hyperlink">
    <w:name w:val="Hyperlink"/>
    <w:uiPriority w:val="99"/>
    <w:unhideWhenUsed/>
    <w:rsid w:val="00E309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wmf"/><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BF20-AC20-4E35-9BDD-68212E7F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Biles</dc:creator>
  <cp:lastModifiedBy>AGNR</cp:lastModifiedBy>
  <cp:revision>3</cp:revision>
  <cp:lastPrinted>2012-06-14T20:34:00Z</cp:lastPrinted>
  <dcterms:created xsi:type="dcterms:W3CDTF">2012-06-14T20:34:00Z</dcterms:created>
  <dcterms:modified xsi:type="dcterms:W3CDTF">2012-06-14T20:42:00Z</dcterms:modified>
</cp:coreProperties>
</file>